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52" w:rsidRDefault="00EB1C52" w:rsidP="00240036">
      <w:pPr>
        <w:pStyle w:val="af5"/>
        <w:spacing w:before="0" w:beforeAutospacing="0" w:after="0" w:afterAutospacing="0" w:line="300" w:lineRule="atLeast"/>
        <w:ind w:firstLine="480"/>
        <w:jc w:val="center"/>
        <w:rPr>
          <w:rStyle w:val="a8"/>
          <w:rFonts w:eastAsiaTheme="majorEastAsia"/>
          <w:color w:val="001746"/>
          <w:bdr w:val="none" w:sz="0" w:space="0" w:color="auto" w:frame="1"/>
          <w:lang w:val="uk-UA"/>
        </w:rPr>
      </w:pPr>
      <w:r w:rsidRPr="00693A94">
        <w:rPr>
          <w:rStyle w:val="a8"/>
          <w:rFonts w:eastAsiaTheme="majorEastAsia"/>
          <w:color w:val="001746"/>
          <w:bdr w:val="none" w:sz="0" w:space="0" w:color="auto" w:frame="1"/>
        </w:rPr>
        <w:t xml:space="preserve">УНІВЕРСАЛЬНА ДЕСЯТКОВА КЛАСИФІКАЦІЯ (УДК): </w:t>
      </w:r>
    </w:p>
    <w:p w:rsidR="00240036" w:rsidRPr="00C41EF4" w:rsidRDefault="00EB1C52" w:rsidP="00240036">
      <w:pPr>
        <w:pStyle w:val="af5"/>
        <w:spacing w:before="0" w:beforeAutospacing="0" w:after="0" w:afterAutospacing="0" w:line="300" w:lineRule="atLeast"/>
        <w:ind w:firstLine="480"/>
        <w:jc w:val="center"/>
        <w:rPr>
          <w:rStyle w:val="a8"/>
          <w:rFonts w:eastAsiaTheme="majorEastAsia"/>
          <w:color w:val="001746"/>
          <w:bdr w:val="none" w:sz="0" w:space="0" w:color="auto" w:frame="1"/>
        </w:rPr>
      </w:pPr>
      <w:r w:rsidRPr="00693A94">
        <w:rPr>
          <w:rStyle w:val="a8"/>
          <w:rFonts w:eastAsiaTheme="majorEastAsia"/>
          <w:color w:val="001746"/>
          <w:bdr w:val="none" w:sz="0" w:space="0" w:color="auto" w:frame="1"/>
        </w:rPr>
        <w:t>НА ДОПОМОГУ КОРИСТУВАЧУ</w:t>
      </w:r>
    </w:p>
    <w:p w:rsidR="00693A94" w:rsidRPr="00EB1C52" w:rsidRDefault="00693A94" w:rsidP="00240036">
      <w:pPr>
        <w:pStyle w:val="af5"/>
        <w:spacing w:before="0" w:beforeAutospacing="0" w:after="0" w:afterAutospacing="0" w:line="300" w:lineRule="atLeast"/>
        <w:ind w:firstLine="480"/>
        <w:jc w:val="center"/>
        <w:rPr>
          <w:rStyle w:val="a8"/>
          <w:rFonts w:eastAsiaTheme="majorEastAsia"/>
          <w:color w:val="auto"/>
          <w:sz w:val="16"/>
          <w:szCs w:val="16"/>
          <w:bdr w:val="none" w:sz="0" w:space="0" w:color="auto" w:frame="1"/>
        </w:rPr>
      </w:pPr>
    </w:p>
    <w:p w:rsidR="005431D0" w:rsidRDefault="00693A94" w:rsidP="00EB1C52">
      <w:pPr>
        <w:pStyle w:val="af5"/>
        <w:spacing w:before="0" w:beforeAutospacing="0" w:after="0" w:afterAutospacing="0" w:line="300" w:lineRule="atLeast"/>
        <w:ind w:firstLine="480"/>
        <w:jc w:val="center"/>
        <w:rPr>
          <w:rStyle w:val="a8"/>
          <w:rFonts w:eastAsiaTheme="majorEastAsia"/>
          <w:color w:val="auto"/>
          <w:bdr w:val="none" w:sz="0" w:space="0" w:color="auto" w:frame="1"/>
          <w:lang w:val="uk-UA"/>
        </w:rPr>
      </w:pPr>
      <w:r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>Бібліотека</w:t>
      </w:r>
      <w:r w:rsidR="00EB1C52"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 xml:space="preserve"> рекомендує ознайомитися з </w:t>
      </w:r>
      <w:r w:rsidR="005431D0" w:rsidRPr="005431D0"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>матеріал</w:t>
      </w:r>
      <w:r w:rsidR="00EB1C52"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>ом</w:t>
      </w:r>
      <w:r w:rsidR="005431D0" w:rsidRPr="005431D0"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>,</w:t>
      </w:r>
      <w:r w:rsidR="005431D0"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 xml:space="preserve"> </w:t>
      </w:r>
      <w:r w:rsidR="005431D0" w:rsidRPr="005431D0">
        <w:rPr>
          <w:rStyle w:val="a8"/>
          <w:rFonts w:eastAsiaTheme="majorEastAsia"/>
          <w:color w:val="auto"/>
          <w:bdr w:val="none" w:sz="0" w:space="0" w:color="auto" w:frame="1"/>
          <w:lang w:val="uk-UA"/>
        </w:rPr>
        <w:t>якщо Ви спробуєте самостійно визначити індекс УДК.</w:t>
      </w:r>
    </w:p>
    <w:p w:rsidR="00C6554C" w:rsidRPr="00EB1C52" w:rsidRDefault="00EB1C52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28575</wp:posOffset>
            </wp:positionV>
            <wp:extent cx="1943100" cy="180848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4EF" w:rsidRPr="009D34EF">
        <w:rPr>
          <w:lang w:val="uk-UA"/>
        </w:rPr>
        <w:t xml:space="preserve"> </w:t>
      </w:r>
      <w:r w:rsidR="00EA7125" w:rsidRPr="00EB1C52">
        <w:rPr>
          <w:rFonts w:ascii="Times New Roman" w:hAnsi="Times New Roman" w:cs="Times New Roman"/>
          <w:b/>
          <w:sz w:val="24"/>
          <w:szCs w:val="24"/>
          <w:lang w:val="uk-UA"/>
        </w:rPr>
        <w:t>Універсальна десяткова класифікація (УДК)</w:t>
      </w:r>
      <w:r w:rsidR="00EA7125" w:rsidRPr="00EB1C52">
        <w:rPr>
          <w:rFonts w:ascii="Times New Roman" w:hAnsi="Times New Roman" w:cs="Times New Roman"/>
          <w:sz w:val="24"/>
          <w:szCs w:val="24"/>
          <w:lang w:val="uk-UA"/>
        </w:rPr>
        <w:t xml:space="preserve"> — це міжнародна багатомовна класифікаційна система, що об'єднує всі галузі знань в єдиній універсальній структурі з загальною десятковою нотацією.</w:t>
      </w:r>
      <w:r w:rsidR="000E6F0E" w:rsidRPr="00EB1C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УДК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розподіляються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допоміжні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554C" w:rsidRPr="00EB1C52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базується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особливостях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понять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відображені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6700" w:rsidRPr="00EB1C52" w:rsidRDefault="00C6554C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Основна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містить</w:t>
      </w:r>
      <w:proofErr w:type="spellEnd"/>
      <w:proofErr w:type="gram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специфічні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певних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галузей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науки,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техніки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систематизують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людські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гуманітарних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математичних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D34EF" w:rsidRPr="00EB1C52">
        <w:rPr>
          <w:rFonts w:ascii="Times New Roman" w:hAnsi="Times New Roman" w:cs="Times New Roman"/>
          <w:sz w:val="24"/>
          <w:szCs w:val="24"/>
        </w:rPr>
        <w:t>УДК</w:t>
      </w:r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розгорнуту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допоміжних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6700"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віднесені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повторюються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розділів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визначники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одному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визначники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0E6F0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6700" w:rsidRPr="00EB1C52">
        <w:rPr>
          <w:rFonts w:ascii="Times New Roman" w:hAnsi="Times New Roman" w:cs="Times New Roman"/>
          <w:sz w:val="24"/>
          <w:szCs w:val="24"/>
        </w:rPr>
        <w:t>Визначники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подальшої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деталізації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індексу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відображаючи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характеристики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властивості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погляду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вони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уточнюють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Визначники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приєднуються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основного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індексу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символів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характерних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конкретного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визначника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крапка</w:t>
      </w:r>
      <w:proofErr w:type="spellEnd"/>
      <w:proofErr w:type="gram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дужки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дефіс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лапки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00" w:rsidRPr="00EB1C5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="00B16700" w:rsidRPr="00EB1C52">
        <w:rPr>
          <w:rFonts w:ascii="Times New Roman" w:hAnsi="Times New Roman" w:cs="Times New Roman"/>
          <w:sz w:val="24"/>
          <w:szCs w:val="24"/>
        </w:rPr>
        <w:t>).</w:t>
      </w:r>
    </w:p>
    <w:p w:rsidR="00B16700" w:rsidRPr="00EB1C52" w:rsidRDefault="00B16700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складовою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УДК є 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алфавітно-предметний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покажчик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(АПП),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адекватно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максимально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повно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прискорює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C52">
        <w:rPr>
          <w:rFonts w:ascii="Times New Roman" w:hAnsi="Times New Roman" w:cs="Times New Roman"/>
          <w:sz w:val="24"/>
          <w:szCs w:val="24"/>
        </w:rPr>
        <w:t xml:space="preserve">В АПП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розміщені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алфавітним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порядком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назв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наводиться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аспект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місцезнаходження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таблицях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00BE" w:rsidRPr="00EB1C52" w:rsidRDefault="009D34EF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sz w:val="24"/>
          <w:szCs w:val="24"/>
        </w:rPr>
        <w:t xml:space="preserve">   </w:t>
      </w:r>
      <w:r w:rsidR="00C6554C" w:rsidRPr="00EB1C5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таблицями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УДК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поділяються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4C" w:rsidRPr="00EB1C52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="00C6554C" w:rsidRPr="00EB1C52">
        <w:rPr>
          <w:rFonts w:ascii="Times New Roman" w:hAnsi="Times New Roman" w:cs="Times New Roman"/>
          <w:sz w:val="24"/>
          <w:szCs w:val="24"/>
        </w:rPr>
        <w:t>:</w:t>
      </w:r>
    </w:p>
    <w:p w:rsidR="001500BE" w:rsidRPr="00EB1C52" w:rsidRDefault="00C6554C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500BE"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="001500BE" w:rsidRPr="00EB1C52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  <w:u w:val="single"/>
        </w:rPr>
        <w:t>Загальний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  <w:u w:val="single"/>
        </w:rPr>
        <w:t>клас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групує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писемності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бібліографії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бібліотечної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журналістики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00BE" w:rsidRPr="00EB1C52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систематизації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характеру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належать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конкретної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E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C5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класі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Філософія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Психологія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згруповано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історії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сутності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категорій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філософських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концепцій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ідеалізму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матеріалізму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соціалістичних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учень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утопічного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соціалізму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марксизму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компонує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літературу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статі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парапсихології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гіпнотизму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навіювання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психотехніки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літературу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окультизму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алхімії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астрології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гороскопів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спиритизму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500BE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Релігія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Теологія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богослов'я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філософії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релігії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релігійної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релігій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релігійних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доісторичних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релігійного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групувати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в 2-74, а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літературу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церквою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державою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— в 2-67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322.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Посилання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розділів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1, 3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поодинокі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демонструють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тісний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висвітленні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проблем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00BE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Суспільні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науки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слугує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групування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методології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статистики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демографії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соціології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державного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військової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етнографії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1D0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Природничі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практичного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C5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природничих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загальновизнані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традиційні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як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періодична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Д. І.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Менделєєва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систематика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ботаніці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зоології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суто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наукову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цінність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широко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систематизації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в УДК.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E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lastRenderedPageBreak/>
        <w:t>Клас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Прикладні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науки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  <w:u w:val="single"/>
        </w:rPr>
        <w:t>Медицина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Техніка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промисловості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конструкцію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роботу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транспорту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сільське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господарство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C5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класі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згруповано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практичного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фізики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хімії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біології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метою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багатств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Коли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характером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точки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прикладної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розглянуто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керуватися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методичними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вказівками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наведеними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розділах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таблиць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E" w:rsidRPr="00EB1C52" w:rsidRDefault="00053E3C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="001500BE" w:rsidRPr="00EB1C52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1500B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  <w:u w:val="single"/>
        </w:rPr>
        <w:t>Мистецтво</w:t>
      </w:r>
      <w:proofErr w:type="spellEnd"/>
      <w:r w:rsidR="001500BE"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1500BE" w:rsidRPr="00EB1C52">
        <w:rPr>
          <w:rFonts w:ascii="Times New Roman" w:hAnsi="Times New Roman" w:cs="Times New Roman"/>
          <w:sz w:val="24"/>
          <w:szCs w:val="24"/>
          <w:u w:val="single"/>
        </w:rPr>
        <w:t>Декоративно-приклад</w:t>
      </w:r>
      <w:r w:rsidRPr="00EB1C52">
        <w:rPr>
          <w:rFonts w:ascii="Times New Roman" w:hAnsi="Times New Roman" w:cs="Times New Roman"/>
          <w:sz w:val="24"/>
          <w:szCs w:val="24"/>
          <w:u w:val="single"/>
        </w:rPr>
        <w:t>не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мистецтво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  <w:u w:val="single"/>
        </w:rPr>
        <w:t>Ігри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Спорт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1500BE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Мова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Мовознавство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Художня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література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  <w:u w:val="single"/>
        </w:rPr>
        <w:t>Літературознавство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складений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визначники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E" w:rsidRPr="00EB1C52" w:rsidRDefault="001500B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Клас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Географія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Біографії</w:t>
      </w:r>
      <w:proofErr w:type="spellEnd"/>
      <w:r w:rsidRPr="00EB1C5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u w:val="single"/>
        </w:rPr>
        <w:t>Історія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археології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тощо</w:t>
      </w:r>
      <w:proofErr w:type="spellEnd"/>
    </w:p>
    <w:p w:rsidR="006032CC" w:rsidRPr="00EB1C52" w:rsidRDefault="000E6F0E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053E3C" w:rsidRPr="00EB1C52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індексують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змістом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Індексування</w:t>
      </w:r>
      <w:proofErr w:type="spellEnd"/>
      <w:proofErr w:type="gramStart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proofErr w:type="gram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УДК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межах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спеціально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розроблених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правил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методики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E3C" w:rsidRPr="00EB1C52">
        <w:rPr>
          <w:rFonts w:ascii="Times New Roman" w:hAnsi="Times New Roman" w:cs="Times New Roman"/>
          <w:sz w:val="24"/>
          <w:szCs w:val="24"/>
        </w:rPr>
        <w:t>індексування</w:t>
      </w:r>
      <w:proofErr w:type="spellEnd"/>
      <w:r w:rsidR="00053E3C" w:rsidRPr="00EB1C52">
        <w:rPr>
          <w:rFonts w:ascii="Times New Roman" w:hAnsi="Times New Roman" w:cs="Times New Roman"/>
          <w:sz w:val="24"/>
          <w:szCs w:val="24"/>
        </w:rPr>
        <w:t>.</w:t>
      </w:r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7125" w:rsidRPr="00EB1C52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УДК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побудовані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наступна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цифра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приєднується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індексу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змінює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попереднє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уточнює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позначаючи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конкретніше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EA7125"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такій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побудові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індекси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легко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розширюватися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деталізуватися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і,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навпаки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згортатися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стискатися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:</w:t>
      </w:r>
      <w:r w:rsidR="006032CC" w:rsidRPr="00EB1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2CC" w:rsidRPr="00EB1C52" w:rsidRDefault="006032CC" w:rsidP="00EB1C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 xml:space="preserve">330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Економіка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цілому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br/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r w:rsidRPr="00EB1C52">
        <w:rPr>
          <w:rFonts w:ascii="Times New Roman" w:hAnsi="Times New Roman" w:cs="Times New Roman"/>
          <w:b/>
          <w:sz w:val="24"/>
          <w:szCs w:val="24"/>
        </w:rPr>
        <w:t>330.8</w:t>
      </w:r>
      <w:r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теорій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доктрин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догм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br/>
      </w:r>
      <w:r w:rsidRPr="00EB1C52">
        <w:rPr>
          <w:rFonts w:ascii="Times New Roman" w:hAnsi="Times New Roman" w:cs="Times New Roman"/>
          <w:b/>
          <w:sz w:val="24"/>
          <w:szCs w:val="24"/>
        </w:rPr>
        <w:t>330.82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Класичні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посткласичні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Лібералізм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Етичні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романтичні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</w:p>
    <w:p w:rsidR="006032CC" w:rsidRPr="00EB1C52" w:rsidRDefault="006032CC" w:rsidP="00EB1C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331 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Праця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Працевлаштування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Робота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Економіка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Організація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b/>
          <w:sz w:val="24"/>
          <w:szCs w:val="24"/>
        </w:rPr>
        <w:t>праці</w:t>
      </w:r>
      <w:proofErr w:type="spellEnd"/>
      <w:r w:rsidRPr="00EB1C52">
        <w:rPr>
          <w:rFonts w:ascii="Times New Roman" w:hAnsi="Times New Roman" w:cs="Times New Roman"/>
          <w:b/>
          <w:sz w:val="24"/>
          <w:szCs w:val="24"/>
        </w:rPr>
        <w:br/>
        <w:t>331.5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Працевлаштування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Зайнятість</w:t>
      </w:r>
      <w:proofErr w:type="spellEnd"/>
    </w:p>
    <w:p w:rsidR="00EA7125" w:rsidRPr="00EB1C52" w:rsidRDefault="000E6F0E" w:rsidP="00EB1C5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C5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A7125" w:rsidRPr="00EB1C52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spellStart"/>
      <w:r w:rsidR="00EA7125" w:rsidRPr="00EB1C52">
        <w:rPr>
          <w:rFonts w:ascii="Times New Roman" w:hAnsi="Times New Roman" w:cs="Times New Roman"/>
          <w:b/>
          <w:sz w:val="24"/>
          <w:szCs w:val="24"/>
        </w:rPr>
        <w:t>Прикладні</w:t>
      </w:r>
      <w:proofErr w:type="spellEnd"/>
      <w:r w:rsidR="00EA7125"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b/>
          <w:sz w:val="24"/>
          <w:szCs w:val="24"/>
        </w:rPr>
        <w:t>науки</w:t>
      </w:r>
      <w:proofErr w:type="spellEnd"/>
      <w:r w:rsidR="00EA7125" w:rsidRPr="00EB1C5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A7125" w:rsidRPr="00EB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125" w:rsidRPr="00EB1C52">
        <w:rPr>
          <w:rFonts w:ascii="Times New Roman" w:hAnsi="Times New Roman" w:cs="Times New Roman"/>
          <w:b/>
          <w:sz w:val="24"/>
          <w:szCs w:val="24"/>
        </w:rPr>
        <w:t>Медицина</w:t>
      </w:r>
      <w:proofErr w:type="spellEnd"/>
      <w:r w:rsidR="00EA7125" w:rsidRPr="00EB1C5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A7125" w:rsidRPr="00EB1C52">
        <w:rPr>
          <w:rFonts w:ascii="Times New Roman" w:hAnsi="Times New Roman" w:cs="Times New Roman"/>
          <w:b/>
          <w:sz w:val="24"/>
          <w:szCs w:val="24"/>
        </w:rPr>
        <w:t>Техніка</w:t>
      </w:r>
      <w:proofErr w:type="spellEnd"/>
    </w:p>
    <w:p w:rsidR="00EA7125" w:rsidRPr="00EB1C52" w:rsidRDefault="00EA7125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C52">
        <w:rPr>
          <w:rFonts w:ascii="Times New Roman" w:hAnsi="Times New Roman" w:cs="Times New Roman"/>
          <w:b/>
          <w:sz w:val="24"/>
          <w:szCs w:val="24"/>
        </w:rPr>
        <w:t>62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Інженерна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справа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Машинобудування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Техніка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</w:p>
    <w:p w:rsidR="00EA7125" w:rsidRPr="00EB1C52" w:rsidRDefault="00EA7125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 xml:space="preserve">621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Загальне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машинобудування</w:t>
      </w:r>
      <w:proofErr w:type="spellEnd"/>
    </w:p>
    <w:p w:rsidR="000E6F0E" w:rsidRPr="00EB1C52" w:rsidRDefault="00EA7125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>621.3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Електрика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Електротехніка</w:t>
      </w:r>
      <w:proofErr w:type="spellEnd"/>
    </w:p>
    <w:p w:rsidR="00B277F7" w:rsidRDefault="00B277F7" w:rsidP="00B277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77F7" w:rsidRDefault="000E6F0E" w:rsidP="00B277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Часто в документах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розглядають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багатоаспектні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поєднують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змі</w:t>
      </w:r>
      <w:proofErr w:type="gram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End"/>
      <w:proofErr w:type="gram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УДК не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механічно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, а у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різноманітних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аспектів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однієї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теми. Для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багатоаспектності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теми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коди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окремих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аспектів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поєднують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індексі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через знак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двокрапки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котрий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даному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назву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 xml:space="preserve"> «знак </w:t>
      </w:r>
      <w:proofErr w:type="spellStart"/>
      <w:r w:rsidRPr="00B277F7">
        <w:rPr>
          <w:rFonts w:ascii="Times New Roman" w:hAnsi="Times New Roman" w:cs="Times New Roman"/>
          <w:sz w:val="24"/>
          <w:szCs w:val="24"/>
          <w:lang w:val="ru-RU"/>
        </w:rPr>
        <w:t>відношення</w:t>
      </w:r>
      <w:proofErr w:type="spellEnd"/>
      <w:r w:rsidRPr="00B277F7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Start"/>
      <w:r w:rsidRPr="00B277F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Pr="00EB1C52">
        <w:rPr>
          <w:rFonts w:ascii="Times New Roman" w:hAnsi="Times New Roman" w:cs="Times New Roman"/>
          <w:sz w:val="24"/>
          <w:szCs w:val="24"/>
          <w:lang w:val="ru-RU"/>
        </w:rPr>
        <w:t>априклад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>: тема</w:t>
      </w:r>
      <w:r w:rsidRPr="00EB1C52">
        <w:rPr>
          <w:rFonts w:ascii="Times New Roman" w:hAnsi="Times New Roman" w:cs="Times New Roman"/>
          <w:sz w:val="24"/>
          <w:szCs w:val="24"/>
        </w:rPr>
        <w:t> </w:t>
      </w:r>
      <w:r w:rsidRPr="00EB1C52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податкового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обліку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в банках»</w:t>
      </w:r>
      <w:r w:rsidRPr="00EB1C52">
        <w:rPr>
          <w:rFonts w:ascii="Times New Roman" w:hAnsi="Times New Roman" w:cs="Times New Roman"/>
          <w:sz w:val="24"/>
          <w:szCs w:val="24"/>
        </w:rPr>
        <w:t> </w:t>
      </w:r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буде представлена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індексом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> </w:t>
      </w:r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336.22:336.71:657,в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якому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використані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три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класи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  <w:lang w:val="ru-RU"/>
        </w:rPr>
        <w:t>таблиць</w:t>
      </w:r>
      <w:proofErr w:type="spellEnd"/>
      <w:r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УДК:</w:t>
      </w:r>
    </w:p>
    <w:p w:rsidR="000E6F0E" w:rsidRPr="00EB1C52" w:rsidRDefault="00EB1C52" w:rsidP="00EB1C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>    </w:t>
      </w:r>
      <w:r w:rsidR="000E6F0E" w:rsidRPr="00EB1C52">
        <w:rPr>
          <w:rFonts w:ascii="Times New Roman" w:hAnsi="Times New Roman" w:cs="Times New Roman"/>
          <w:b/>
          <w:sz w:val="24"/>
          <w:szCs w:val="24"/>
          <w:lang w:val="ru-RU"/>
        </w:rPr>
        <w:t>336.22</w:t>
      </w:r>
      <w:r w:rsidR="000E6F0E"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>Податки</w:t>
      </w:r>
      <w:proofErr w:type="spellEnd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E6F0E"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>Збори</w:t>
      </w:r>
      <w:proofErr w:type="spellEnd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F0E" w:rsidRPr="00EB1C52">
        <w:rPr>
          <w:rFonts w:ascii="Times New Roman" w:hAnsi="Times New Roman" w:cs="Times New Roman"/>
          <w:sz w:val="24"/>
          <w:szCs w:val="24"/>
        </w:rPr>
        <w:t>    </w:t>
      </w:r>
      <w:r w:rsidR="000E6F0E" w:rsidRPr="00EB1C52">
        <w:rPr>
          <w:rFonts w:ascii="Times New Roman" w:hAnsi="Times New Roman" w:cs="Times New Roman"/>
          <w:b/>
          <w:sz w:val="24"/>
          <w:szCs w:val="24"/>
          <w:lang w:val="ru-RU"/>
        </w:rPr>
        <w:t>336.71</w:t>
      </w:r>
      <w:r w:rsidR="000E6F0E" w:rsidRPr="00EB1C52">
        <w:rPr>
          <w:rFonts w:ascii="Times New Roman" w:hAnsi="Times New Roman" w:cs="Times New Roman"/>
          <w:sz w:val="24"/>
          <w:szCs w:val="24"/>
        </w:rPr>
        <w:t> </w:t>
      </w:r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Банки. </w:t>
      </w:r>
      <w:proofErr w:type="spellStart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>Банківська</w:t>
      </w:r>
      <w:proofErr w:type="spellEnd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 справа</w:t>
      </w:r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F0E" w:rsidRPr="00EB1C52">
        <w:rPr>
          <w:rFonts w:ascii="Times New Roman" w:hAnsi="Times New Roman" w:cs="Times New Roman"/>
          <w:b/>
          <w:sz w:val="24"/>
          <w:szCs w:val="24"/>
        </w:rPr>
        <w:t>    </w:t>
      </w:r>
      <w:r w:rsidR="000E6F0E" w:rsidRPr="00EB1C52">
        <w:rPr>
          <w:rFonts w:ascii="Times New Roman" w:hAnsi="Times New Roman" w:cs="Times New Roman"/>
          <w:b/>
          <w:sz w:val="24"/>
          <w:szCs w:val="24"/>
          <w:lang w:val="ru-RU"/>
        </w:rPr>
        <w:t>657</w:t>
      </w:r>
      <w:r w:rsidR="000E6F0E" w:rsidRPr="00EB1C5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>Бухгалтерія</w:t>
      </w:r>
      <w:proofErr w:type="spellEnd"/>
      <w:r w:rsidR="000E6F0E" w:rsidRPr="00EB1C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E6F0E" w:rsidRPr="00EB1C52">
        <w:rPr>
          <w:rFonts w:ascii="Times New Roman" w:hAnsi="Times New Roman" w:cs="Times New Roman"/>
          <w:sz w:val="24"/>
          <w:szCs w:val="24"/>
        </w:rPr>
        <w:t>Бухгалтерський</w:t>
      </w:r>
      <w:proofErr w:type="spellEnd"/>
      <w:r w:rsidR="000E6F0E"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6F0E" w:rsidRPr="00EB1C52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="000E6F0E" w:rsidRPr="00EB1C52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="000E6F0E" w:rsidRPr="00EB1C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6F0E" w:rsidRPr="00EB1C52">
        <w:rPr>
          <w:rFonts w:ascii="Times New Roman" w:hAnsi="Times New Roman" w:cs="Times New Roman"/>
          <w:sz w:val="24"/>
          <w:szCs w:val="24"/>
        </w:rPr>
        <w:t>Рахівництво</w:t>
      </w:r>
      <w:proofErr w:type="spellEnd"/>
    </w:p>
    <w:p w:rsidR="006032CC" w:rsidRPr="00EB1C52" w:rsidRDefault="005431D0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1C52">
        <w:rPr>
          <w:rFonts w:ascii="Times New Roman" w:hAnsi="Times New Roman" w:cs="Times New Roman"/>
          <w:sz w:val="24"/>
          <w:szCs w:val="24"/>
        </w:rPr>
        <w:t>а</w:t>
      </w:r>
      <w:r w:rsidR="006032CC" w:rsidRPr="00EB1C52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</w:p>
    <w:p w:rsidR="006032CC" w:rsidRPr="00EB1C52" w:rsidRDefault="006032CC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>621.74:669.2/.8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Лиття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кольорових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де</w:t>
      </w:r>
      <w:proofErr w:type="spellEnd"/>
    </w:p>
    <w:p w:rsidR="006032CC" w:rsidRPr="00EB1C52" w:rsidRDefault="006032CC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>621.74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Лиття</w:t>
      </w:r>
      <w:proofErr w:type="spellEnd"/>
    </w:p>
    <w:p w:rsidR="006032CC" w:rsidRPr="00EB1C52" w:rsidRDefault="006032CC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C52">
        <w:rPr>
          <w:rFonts w:ascii="Times New Roman" w:hAnsi="Times New Roman" w:cs="Times New Roman"/>
          <w:b/>
          <w:sz w:val="24"/>
          <w:szCs w:val="24"/>
        </w:rPr>
        <w:t>669.2/.8</w:t>
      </w:r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Металургія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кольорових</w:t>
      </w:r>
      <w:proofErr w:type="spellEnd"/>
      <w:r w:rsidRPr="00EB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C52">
        <w:rPr>
          <w:rFonts w:ascii="Times New Roman" w:hAnsi="Times New Roman" w:cs="Times New Roman"/>
          <w:sz w:val="24"/>
          <w:szCs w:val="24"/>
        </w:rPr>
        <w:t>металів</w:t>
      </w:r>
      <w:proofErr w:type="spellEnd"/>
    </w:p>
    <w:p w:rsidR="00F7392F" w:rsidRPr="00EB1C52" w:rsidRDefault="00F7392F" w:rsidP="00EB1C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0BE" w:rsidRPr="001E5390" w:rsidRDefault="001500BE" w:rsidP="001E5390">
      <w:pPr>
        <w:spacing w:after="0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1E5390">
        <w:rPr>
          <w:rFonts w:ascii="Times New Roman" w:hAnsi="Times New Roman" w:cs="Times New Roman"/>
          <w:b/>
          <w:color w:val="002060"/>
          <w:sz w:val="24"/>
          <w:szCs w:val="24"/>
        </w:rPr>
        <w:t>Звертаємо</w:t>
      </w:r>
      <w:proofErr w:type="spellEnd"/>
      <w:r w:rsidR="009D34EF" w:rsidRPr="001E539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9D34EF" w:rsidRPr="001E5390">
        <w:rPr>
          <w:rFonts w:ascii="Times New Roman" w:hAnsi="Times New Roman" w:cs="Times New Roman"/>
          <w:b/>
          <w:color w:val="002060"/>
          <w:sz w:val="24"/>
          <w:szCs w:val="24"/>
        </w:rPr>
        <w:t>Вашу</w:t>
      </w:r>
      <w:proofErr w:type="spellEnd"/>
      <w:r w:rsidR="009D34EF" w:rsidRPr="001E539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9D34EF" w:rsidRPr="001E5390">
        <w:rPr>
          <w:rFonts w:ascii="Times New Roman" w:hAnsi="Times New Roman" w:cs="Times New Roman"/>
          <w:b/>
          <w:color w:val="002060"/>
          <w:sz w:val="24"/>
          <w:szCs w:val="24"/>
        </w:rPr>
        <w:t>увагу</w:t>
      </w:r>
      <w:proofErr w:type="spellEnd"/>
    </w:p>
    <w:p w:rsidR="001500BE" w:rsidRPr="001E5390" w:rsidRDefault="001500BE" w:rsidP="001E5390">
      <w:pPr>
        <w:spacing w:after="0"/>
        <w:ind w:firstLine="709"/>
        <w:jc w:val="center"/>
        <w:rPr>
          <w:rFonts w:eastAsia="Times New Roman"/>
          <w:iCs/>
          <w:sz w:val="24"/>
          <w:szCs w:val="24"/>
          <w:lang w:val="uk-UA" w:eastAsia="ru-RU" w:bidi="ar-SA"/>
        </w:rPr>
      </w:pPr>
      <w:r w:rsidRPr="001E5390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"</w:t>
      </w:r>
      <w:proofErr w:type="spellStart"/>
      <w:r w:rsidRPr="001E5390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Видання</w:t>
      </w:r>
      <w:proofErr w:type="spellEnd"/>
      <w:r w:rsidRPr="001E5390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УДК" (доступно для </w:t>
      </w:r>
      <w:proofErr w:type="spellStart"/>
      <w:r w:rsidRPr="001E5390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завантаження</w:t>
      </w:r>
      <w:proofErr w:type="spellEnd"/>
      <w:r w:rsidRPr="001E5390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!) за </w:t>
      </w:r>
      <w:proofErr w:type="spellStart"/>
      <w:r w:rsidRPr="001E5390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посиланням</w:t>
      </w:r>
      <w:proofErr w:type="spellEnd"/>
      <w:r w:rsidR="001E5390" w:rsidRPr="001E5390">
        <w:rPr>
          <w:rFonts w:ascii="Times New Roman" w:hAnsi="Times New Roman" w:cs="Times New Roman"/>
          <w:color w:val="002060"/>
          <w:sz w:val="24"/>
          <w:szCs w:val="24"/>
          <w:lang w:val="uk-UA"/>
        </w:rPr>
        <w:t>:</w:t>
      </w:r>
      <w:r w:rsidR="001E5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1E5390">
          <w:rPr>
            <w:rFonts w:eastAsia="Times New Roman"/>
            <w:b/>
            <w:iCs/>
            <w:sz w:val="24"/>
            <w:szCs w:val="24"/>
            <w:lang w:val="uk-UA" w:eastAsia="ru-RU" w:bidi="ar-SA"/>
          </w:rPr>
          <w:t>http://ukrbook.net/UDC/UDC_vydannya.html</w:t>
        </w:r>
      </w:hyperlink>
    </w:p>
    <w:p w:rsidR="00EA1E08" w:rsidRPr="00B16700" w:rsidRDefault="00EA1E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1E08" w:rsidRPr="00B16700" w:rsidSect="001E5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4B4"/>
    <w:multiLevelType w:val="multilevel"/>
    <w:tmpl w:val="592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94215"/>
    <w:multiLevelType w:val="multilevel"/>
    <w:tmpl w:val="E76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03EFA"/>
    <w:multiLevelType w:val="multilevel"/>
    <w:tmpl w:val="5E1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54C"/>
    <w:rsid w:val="00053E3C"/>
    <w:rsid w:val="000E1A27"/>
    <w:rsid w:val="000E6F0E"/>
    <w:rsid w:val="001365C6"/>
    <w:rsid w:val="001500BE"/>
    <w:rsid w:val="001671C7"/>
    <w:rsid w:val="001E5390"/>
    <w:rsid w:val="00240036"/>
    <w:rsid w:val="00240E56"/>
    <w:rsid w:val="0025584C"/>
    <w:rsid w:val="005431D0"/>
    <w:rsid w:val="006032CC"/>
    <w:rsid w:val="00693A94"/>
    <w:rsid w:val="009D34EF"/>
    <w:rsid w:val="009E5BEB"/>
    <w:rsid w:val="00A47AB3"/>
    <w:rsid w:val="00AB4634"/>
    <w:rsid w:val="00AC3E48"/>
    <w:rsid w:val="00B16700"/>
    <w:rsid w:val="00B277F7"/>
    <w:rsid w:val="00B64746"/>
    <w:rsid w:val="00C41EF4"/>
    <w:rsid w:val="00C6554C"/>
    <w:rsid w:val="00CF1CDC"/>
    <w:rsid w:val="00D90920"/>
    <w:rsid w:val="00EA1E08"/>
    <w:rsid w:val="00EA7125"/>
    <w:rsid w:val="00EB1C52"/>
    <w:rsid w:val="00F625FF"/>
    <w:rsid w:val="00F63604"/>
    <w:rsid w:val="00F7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B3"/>
  </w:style>
  <w:style w:type="paragraph" w:styleId="1">
    <w:name w:val="heading 1"/>
    <w:basedOn w:val="a"/>
    <w:next w:val="a"/>
    <w:link w:val="10"/>
    <w:uiPriority w:val="9"/>
    <w:qFormat/>
    <w:rsid w:val="00A47AB3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7AB3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47AB3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7AB3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AB3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AB3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AB3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A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A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AB3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47AB3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47AB3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47AB3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47AB3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47AB3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47AB3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47A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7A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7A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7AB3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47AB3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47A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47A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A47AB3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A47A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47A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47AB3"/>
  </w:style>
  <w:style w:type="paragraph" w:styleId="ac">
    <w:name w:val="List Paragraph"/>
    <w:basedOn w:val="a"/>
    <w:uiPriority w:val="34"/>
    <w:qFormat/>
    <w:rsid w:val="00A47A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7A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7A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47AB3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47AB3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47AB3"/>
    <w:rPr>
      <w:i/>
      <w:iCs/>
    </w:rPr>
  </w:style>
  <w:style w:type="character" w:styleId="af0">
    <w:name w:val="Intense Emphasis"/>
    <w:uiPriority w:val="21"/>
    <w:qFormat/>
    <w:rsid w:val="00A47A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47AB3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A47AB3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A47AB3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47AB3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6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justifyleft">
    <w:name w:val="justifyleft"/>
    <w:basedOn w:val="a"/>
    <w:rsid w:val="00C6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1500BE"/>
    <w:rPr>
      <w:color w:val="0000FF"/>
      <w:u w:val="single"/>
    </w:rPr>
  </w:style>
  <w:style w:type="character" w:customStyle="1" w:styleId="simple">
    <w:name w:val="simple"/>
    <w:basedOn w:val="a0"/>
    <w:rsid w:val="001500BE"/>
  </w:style>
  <w:style w:type="character" w:styleId="af7">
    <w:name w:val="FollowedHyperlink"/>
    <w:basedOn w:val="a0"/>
    <w:uiPriority w:val="99"/>
    <w:semiHidden/>
    <w:unhideWhenUsed/>
    <w:rsid w:val="001500BE"/>
    <w:rPr>
      <w:color w:val="919191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69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93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book.net/UDC/UDC_vydanny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study</cp:lastModifiedBy>
  <cp:revision>10</cp:revision>
  <dcterms:created xsi:type="dcterms:W3CDTF">2020-12-01T10:46:00Z</dcterms:created>
  <dcterms:modified xsi:type="dcterms:W3CDTF">2020-12-03T09:19:00Z</dcterms:modified>
</cp:coreProperties>
</file>